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C7980">
      <w:pPr>
        <w:pStyle w:val="15"/>
        <w:widowControl/>
      </w:pPr>
      <mc:AlternateContent>
        <mc:Choice Requires="wpsCustomData">
          <wpsCustomData:docfieldStart id="0" docfieldname="标题_1" hidden="0" print="1" readonly="0" index="2"/>
        </mc:Choice>
      </mc:AlternateContent>
      <w:r>
        <w:t>监控系统维保项目需求</w:t>
      </w:r>
      <mc:AlternateContent>
        <mc:Choice Requires="wpsCustomData">
          <wpsCustomData:docfieldEnd id="0"/>
        </mc:Choice>
      </mc:AlternateContent>
    </w:p>
    <w:p w14:paraId="1C44FAD2">
      <w:pPr>
        <w:pStyle w:val="11"/>
        <w:bidi w:val="0"/>
        <w:spacing w:beforeAutospacing="0" w:afterAutospacing="0" w:line="300" w:lineRule="exact"/>
      </w:pPr>
    </w:p>
    <w:p w14:paraId="500CC7B0">
      <w:pPr>
        <w:pStyle w:val="2"/>
        <w:widowControl/>
      </w:pPr>
      <w:r>
        <w:t>一、服务范围</w:t>
      </w:r>
    </w:p>
    <w:p w14:paraId="722745E7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维保覆盖全院所有建筑及公共区域，包括住院楼、门诊楼、医技楼、行政楼、制氧站、危险品库房、停车场、院区道路及各重点科室区域，具体系统如下：</w:t>
      </w:r>
    </w:p>
    <w:p w14:paraId="4D30DE63">
      <w:pPr>
        <w:pStyle w:val="11"/>
        <w:widowControl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1"/>
          <w:rFonts w:hint="eastAsia" w:eastAsia="楷体_GB2312"/>
          <w:lang w:eastAsia="zh-CN"/>
        </w:rPr>
        <w:t>（一）</w:t>
      </w:r>
      <w:r>
        <w:rPr>
          <w:rStyle w:val="21"/>
        </w:rPr>
        <w:t>视频监控系统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：前端各类摄像机（枪机、球机、半球、全景机等）、传输链路（光纤、网线、电源线、防雷模块）、接入 ／ 核心交换机、网络硬盘录像机（NVR）、磁盘阵列存储、拼接大屏、解码器、操作台、UPS 供电设备及监控管理平台。</w:t>
      </w:r>
    </w:p>
    <w:p w14:paraId="16C17AE8">
      <w:pPr>
        <w:pStyle w:val="11"/>
        <w:widowControl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1"/>
          <w:rFonts w:hint="eastAsia" w:eastAsia="楷体_GB2312"/>
          <w:lang w:eastAsia="zh-CN"/>
        </w:rPr>
        <w:t>（二）</w:t>
      </w:r>
      <w:r>
        <w:rPr>
          <w:rStyle w:val="21"/>
        </w:rPr>
        <w:t>门禁系统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：门禁控制器、读卡器、电锁、门禁开关、门禁电源、管理主机、门禁管理软件及配套传输线路，覆盖重点科室、设备机房、财务室、库房、行政办公区等管控区域。</w:t>
      </w:r>
    </w:p>
    <w:p w14:paraId="74C35A3E">
      <w:pPr>
        <w:pStyle w:val="11"/>
        <w:widowControl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1"/>
          <w:rFonts w:hint="eastAsia" w:eastAsia="楷体_GB2312"/>
          <w:lang w:eastAsia="zh-CN"/>
        </w:rPr>
        <w:t>（三）</w:t>
      </w:r>
      <w:r>
        <w:rPr>
          <w:rStyle w:val="21"/>
        </w:rPr>
        <w:t>一键式报警及入侵报警系统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：一键报警按钮、红外探测器、声光报警器、报警主机、报警管理平台及配套线路，覆盖收费窗口、护士站、财务室、危险品库房、夜间值守区域等。</w:t>
      </w:r>
    </w:p>
    <w:p w14:paraId="21E289B2">
      <w:pPr>
        <w:pStyle w:val="11"/>
        <w:widowControl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1"/>
          <w:rFonts w:hint="eastAsia" w:eastAsia="楷体_GB2312"/>
          <w:lang w:eastAsia="zh-CN"/>
        </w:rPr>
        <w:t>（四）</w:t>
      </w:r>
      <w:r>
        <w:rPr>
          <w:rStyle w:val="21"/>
        </w:rPr>
        <w:t>安检及闸道设备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：入院安检机、金属探测门、人行闸机及配套控制设备、传输与供电系统。</w:t>
      </w:r>
    </w:p>
    <w:p w14:paraId="3F05E0BC">
      <w:pPr>
        <w:pStyle w:val="2"/>
        <w:widowControl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0" w:name="heading_2"/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、</w:t>
      </w:r>
      <w:r>
        <w:t>服务内容与质量标准</w:t>
      </w:r>
      <w:bookmarkEnd w:id="0"/>
    </w:p>
    <w:p w14:paraId="23859915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1" w:name="heading_3"/>
      <w:r>
        <w:rPr>
          <w:rFonts w:hint="eastAsia"/>
          <w:lang w:eastAsia="zh-CN"/>
        </w:rPr>
        <w:t>（一）</w:t>
      </w:r>
      <w:r>
        <w:t>核心服务内容</w:t>
      </w:r>
      <w:bookmarkEnd w:id="1"/>
    </w:p>
    <w:p w14:paraId="063CA7FA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包含全系统定期巡检保养、故障排查维修、性能优化调试、配</w:t>
      </w:r>
      <w:r>
        <w:rPr>
          <w:rFonts w:ascii="Times New Roman" w:hAnsi="Times New Roman" w:eastAsia="仿宋_GB2312" w:cs="仿宋_GB2312"/>
          <w:color w:val="auto"/>
          <w:spacing wpsCustomData:val="-6" w:val="11"/>
          <w:sz w:val="32"/>
          <w:szCs w:val="32"/>
        </w:rPr>
        <w:t xml:space="preserve">件更换辅助、专项保障支持，确保各系统 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7×24</w:t>
      </w:r>
      <w:r>
        <w:rPr>
          <w:rFonts w:ascii="Times New Roman" w:hAnsi="Times New Roman" w:eastAsia="仿宋_GB2312" w:cs="仿宋_GB2312"/>
          <w:color w:val="auto"/>
          <w:spacing wpsCustomData:val="-6" w:val="11"/>
          <w:sz w:val="32"/>
          <w:szCs w:val="32"/>
        </w:rPr>
        <w:t xml:space="preserve"> 小时稳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定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运行。</w:t>
      </w:r>
    </w:p>
    <w:p w14:paraId="0C99D778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2" w:name="heading_4"/>
      <w:r>
        <w:rPr>
          <w:rFonts w:hint="eastAsia"/>
          <w:lang w:eastAsia="zh-CN"/>
        </w:rPr>
        <w:t>（二）</w:t>
      </w:r>
      <w:r>
        <w:t>系统运行质量标准</w:t>
      </w:r>
      <w:bookmarkEnd w:id="2"/>
    </w:p>
    <w:p w14:paraId="356797F9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全院安防系统整体设备完好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；收费处、药房、制氧站、危险品库房、停车场出入口等重点区域设备完好率 100％。</w:t>
      </w:r>
    </w:p>
    <w:p w14:paraId="607BDA8C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视频监控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：所有点位图像清晰、无黑屏卡顿、角度合规，录像存储时长不低于规定时限，回放、下载、备份功能正常；拼接大屏无花屏、色差、黑屏，拼接效果达标。</w:t>
      </w:r>
    </w:p>
    <w:p w14:paraId="53AFDBD5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门禁系统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：刷卡 ／ 识别响应灵敏，锁具启闭可靠，权限管控与事件记录完整可查，联动功能正常。</w:t>
      </w:r>
    </w:p>
    <w:p w14:paraId="7995A597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4.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报警系统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：探测器无漏报、无误报，一键报警触发后监控室及时接收信号，声光报警与联动功能正常。</w:t>
      </w:r>
    </w:p>
    <w:p w14:paraId="0BFB44FF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5.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安检闸道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：设备检测准确、运行平稳，闸机启闭顺畅无卡滞，通行数据记录完整。</w:t>
      </w:r>
    </w:p>
    <w:p w14:paraId="4715C11E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3" w:name="heading_5"/>
      <w:r>
        <w:rPr>
          <w:rFonts w:hint="eastAsia"/>
          <w:lang w:eastAsia="zh-CN"/>
        </w:rPr>
        <w:t>（三）</w:t>
      </w:r>
      <w:r>
        <w:t>专项增值服务</w:t>
      </w:r>
      <w:bookmarkEnd w:id="3"/>
    </w:p>
    <w:p w14:paraId="35E622BC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配合医院完成公安、卫健等部门的安防专项检查、数据调取、整改落实等工作。</w:t>
      </w:r>
    </w:p>
    <w:p w14:paraId="3D4C399A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遇医院重大活动、上级督查、突发公共事件等特殊时段，按需提供现场值守保障。</w:t>
      </w:r>
    </w:p>
    <w:p w14:paraId="75E7E07D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每年至少开展 1 次操作培训，为监控室值班人员讲解系统日常操作、简易故障排查方法。</w:t>
      </w:r>
    </w:p>
    <w:p w14:paraId="410F815F">
      <w:pPr>
        <w:pStyle w:val="2"/>
        <w:widowControl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4" w:name="heading_6"/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、</w:t>
      </w:r>
      <w:r>
        <w:t>应急响应机制</w:t>
      </w:r>
      <w:bookmarkEnd w:id="4"/>
    </w:p>
    <w:p w14:paraId="45EA930A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5" w:name="heading_7"/>
      <w:r>
        <w:rPr>
          <w:rFonts w:hint="eastAsia"/>
          <w:lang w:eastAsia="zh-CN"/>
        </w:rPr>
        <w:t>（一）</w:t>
      </w:r>
      <w:r>
        <w:t>分级响应时效</w:t>
      </w:r>
      <w:bookmarkEnd w:id="5"/>
    </w:p>
    <w:p w14:paraId="6BF226E2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电话响应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：甲方通过电话、工作群等渠道报修后，乙方须在 30 分钟内完成响应，初步研判故障原因，指导甲方开展简易排查。</w:t>
      </w:r>
    </w:p>
    <w:p w14:paraId="57DD7EE4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现场响应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</w:t>
      </w:r>
    </w:p>
    <w:p w14:paraId="7D6D64B3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一般故障（单路摄像机离线、单个门禁失灵等不影响整体运行的故障）：6 小时内派员到达现场排查处置。</w:t>
      </w:r>
    </w:p>
    <w:p w14:paraId="07E3E896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紧急故障（大面积监控离线、核心存储故障、门禁系统瘫痪、报警系统失效、安检 ／ 闸机停机等影响院区安全或诊疗秩序的故障）：1 小时内到达现场应急处置。</w:t>
      </w:r>
    </w:p>
    <w:p w14:paraId="55123D60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6" w:name="heading_8"/>
      <w:r>
        <w:rPr>
          <w:rFonts w:hint="eastAsia"/>
          <w:lang w:eastAsia="zh-CN"/>
        </w:rPr>
        <w:t>（二）</w:t>
      </w:r>
      <w:r>
        <w:t>故障修复时限</w:t>
      </w:r>
      <w:bookmarkEnd w:id="6"/>
    </w:p>
    <w:p w14:paraId="4E1CE883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一般故障到场后 4 小时内完成修复；</w:t>
      </w:r>
    </w:p>
    <w:p w14:paraId="40F89D4C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紧急故障到场后 2 小时内恢复核心功能，24 小时内完成全面修复；</w:t>
      </w:r>
    </w:p>
    <w:p w14:paraId="04EB04D6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需更换稀缺配件且无备用库存的，须第一时间向甲方安保部报备，明确修复周期，原则上在配件到货后 24 小时内完成更换调试。</w:t>
      </w:r>
    </w:p>
    <w:p w14:paraId="4F47B56B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7" w:name="heading_9"/>
      <w:r>
        <w:rPr>
          <w:rFonts w:hint="eastAsia"/>
          <w:lang w:eastAsia="zh-CN"/>
        </w:rPr>
        <w:t>（三）</w:t>
      </w:r>
      <w:r>
        <w:t>响应未达标处置</w:t>
      </w:r>
      <w:bookmarkEnd w:id="7"/>
    </w:p>
    <w:p w14:paraId="5EDCD521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首次未按时响应或到场的，甲方安保部予以警告，乙方须在 24 小时内提交整改说明与改进措施。</w:t>
      </w:r>
    </w:p>
    <w:p w14:paraId="75DD6BFD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同半年内累计 3 次未按时响应 ／ 到场的，甲方有权直接建议终止合同并重新遴选服务单位；因响应不及时导致故障扩大、引发安全事件或造成经济损失的，由乙方承担全部法律与经济责任。</w:t>
      </w:r>
    </w:p>
    <w:p w14:paraId="77997AC3">
      <w:pPr>
        <w:pStyle w:val="2"/>
        <w:widowControl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8" w:name="heading_10"/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、</w:t>
      </w:r>
      <w:r>
        <w:t>定期巡检与保养</w:t>
      </w:r>
      <w:bookmarkEnd w:id="8"/>
    </w:p>
    <w:p w14:paraId="6E29BDB4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9" w:name="heading_11"/>
      <w:r>
        <w:rPr>
          <w:rFonts w:hint="eastAsia"/>
          <w:lang w:eastAsia="zh-CN"/>
        </w:rPr>
        <w:t>（一）</w:t>
      </w:r>
      <w:r>
        <w:t>巡检周期要求</w:t>
      </w:r>
      <w:bookmarkEnd w:id="9"/>
    </w:p>
    <w:p w14:paraId="4EDE5436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每两个月全面巡检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：对全院所有安防设备开展全覆盖巡检保养；</w:t>
      </w:r>
    </w:p>
    <w:p w14:paraId="7593F26F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每半年全量点验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：逐点位核查设备状态，出具全院设备台账与点位状态报告；</w:t>
      </w:r>
    </w:p>
    <w:p w14:paraId="4CE4738E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特殊天气专项巡检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：雷雨、大风、极端高温等天气前后，对室外设备、机房供电、防雷接地开展专项排查；经甲方安保部同意，常规巡检可因极端天气顺延。</w:t>
      </w:r>
    </w:p>
    <w:p w14:paraId="5A346AAD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10" w:name="heading_12"/>
      <w:r>
        <w:rPr>
          <w:rFonts w:hint="eastAsia"/>
          <w:lang w:eastAsia="zh-CN"/>
        </w:rPr>
        <w:t>（二）</w:t>
      </w:r>
      <w:r>
        <w:t>巡检核心内容</w:t>
      </w:r>
      <w:bookmarkEnd w:id="10"/>
    </w:p>
    <w:p w14:paraId="068BEDEA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前端设备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：摄像机镜头清洁、支架紧固、角度校准、成像效果测试；门禁读卡器与锁具清洁、灵敏度测试；报警探测器清洁、探测范围校准；安检设备外观清洁、传动部件检查。</w:t>
      </w:r>
    </w:p>
    <w:p w14:paraId="21EE939E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后端设备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：硬盘录像机、存储阵列、交换机、解码器除尘清洁；硬盘健康检测、录像完整性校验；报警主机、门禁管理主机运行状态与日志核查；UPS 电源充放电测试。</w:t>
      </w:r>
    </w:p>
    <w:p w14:paraId="27C8406B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线路与节点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：机房线缆整理、接线端子紧固，排查线路松动、老化、缠绕隐患；室外线路防水、防护、防雷设施检查。</w:t>
      </w:r>
    </w:p>
    <w:p w14:paraId="7DE291AC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4.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系统功能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：全平台功能测试，录像回放、联动功能验证；门禁权限、报警联动逻辑测试；闸机通行、安检检测功能全流程核验。</w:t>
      </w:r>
    </w:p>
    <w:p w14:paraId="6A9D5133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11" w:name="heading_13"/>
      <w:r>
        <w:rPr>
          <w:rFonts w:hint="eastAsia"/>
          <w:lang w:eastAsia="zh-CN"/>
        </w:rPr>
        <w:t>（三）</w:t>
      </w:r>
      <w:r>
        <w:t>巡检未达标处置</w:t>
      </w:r>
      <w:bookmarkEnd w:id="11"/>
    </w:p>
    <w:p w14:paraId="6AAC2EA0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未在规定周期内完成巡检，或巡检内容缺项漏项的，甲方有权</w:t>
      </w:r>
      <w:r>
        <w:rPr>
          <w:rFonts w:ascii="Times New Roman" w:hAnsi="Times New Roman" w:eastAsia="仿宋_GB2312" w:cs="仿宋_GB2312"/>
          <w:color w:val="auto"/>
          <w:spacing wpsCustomData:val="-6" w:val="7"/>
          <w:sz w:val="32"/>
          <w:szCs w:val="32"/>
        </w:rPr>
        <w:t>责令乙方限期补检；逾期未补检的，扣除对应周期的服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务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费用。</w:t>
      </w:r>
    </w:p>
    <w:p w14:paraId="3BCB0B86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12" w:name="heading_14"/>
      <w:r>
        <w:rPr>
          <w:rFonts w:hint="eastAsia"/>
          <w:lang w:eastAsia="zh-CN"/>
        </w:rPr>
        <w:t>（四）</w:t>
      </w:r>
      <w:r>
        <w:t>维修基金管理</w:t>
      </w:r>
      <w:bookmarkEnd w:id="12"/>
    </w:p>
    <w:p w14:paraId="3B109F56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设立专项维修基金，金额为合同总价的 5％，该金额不计入合同价款，专项用于监控系统相关设施或配件的更换。</w:t>
      </w:r>
    </w:p>
    <w:p w14:paraId="1B22ED2C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乙方须建立维修基金使用台账，详细记录每次配件更换的时间、点位、配件名称、数量、金额。</w:t>
      </w:r>
    </w:p>
    <w:p w14:paraId="6E8E038B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使用流程：配件更换前须提交书面申请，明确更换原因与费用，经甲方安保部书面确认后方可实施；更换完成后提供正规票据与结算报告，按约定周期结算。</w:t>
      </w:r>
    </w:p>
    <w:p w14:paraId="2076EB60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若维修基金余额不足，乙方须提前10个工作日向甲方报备；基金耗尽后，后续设施及配件的维修更换费用由甲方承担。</w:t>
      </w:r>
    </w:p>
    <w:p w14:paraId="10066B64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常用维护辅材（水晶头、扎带、清洁耗材、绝缘胶带等）由乙方自行承担，不计入维修基金。</w:t>
      </w:r>
    </w:p>
    <w:p w14:paraId="7E6DE1E5">
      <w:pPr>
        <w:pStyle w:val="2"/>
        <w:widowControl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13" w:name="heading_15"/>
      <w:r>
        <w:rPr>
          <w:rFonts w:hint="eastAsia"/>
          <w:lang w:val="en-US" w:eastAsia="zh-CN"/>
        </w:rPr>
        <w:t>五</w:t>
      </w:r>
      <w:r>
        <w:rPr>
          <w:rFonts w:hint="eastAsia"/>
          <w:lang w:eastAsia="zh-CN"/>
        </w:rPr>
        <w:t>、</w:t>
      </w:r>
      <w:r>
        <w:t>维保记录与档案管理</w:t>
      </w:r>
      <w:bookmarkEnd w:id="13"/>
    </w:p>
    <w:p w14:paraId="5572699A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每次故障维修、巡检保养完成后，乙方须出具书面维保记录，明确记录故障现象、排查过程、处理措施、更换配件、处理结果及后续建议，经甲方安保部审核签字后，双方各留存一份备案。</w:t>
      </w:r>
    </w:p>
    <w:p w14:paraId="46A69A81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乙方须为全院监控及相关设备（归属固定资产类的）建立完整设备档案，包含设备型号、安装位置、投用时间、历次维保记录、故障维修记录、配件更换记录等；每次维保后 3 日内提交更新后的维护记录与档案。</w:t>
      </w:r>
    </w:p>
    <w:p w14:paraId="654F6987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b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color w:val="auto"/>
          <w:sz w:val="32"/>
          <w:szCs w:val="32"/>
        </w:rPr>
        <w:t>未达标处置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</w:t>
      </w:r>
    </w:p>
    <w:p w14:paraId="0F4D5268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未提交或延迟提交维保记录的，甲方不予确认本次维保工作量，不计入当期服务核算；</w:t>
      </w:r>
    </w:p>
    <w:p w14:paraId="465D3C10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记录内容不真实、弄虚作假的，该次记录直接判定无效，扣除对应服务费用，并计入履约不良评价；</w:t>
      </w:r>
    </w:p>
    <w:p w14:paraId="1BFFBCA5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同一年度内累计 3 次记录不规范、提交不及时的，甲方约谈乙</w:t>
      </w:r>
      <w:r>
        <w:rPr>
          <w:rFonts w:ascii="Times New Roman" w:hAnsi="Times New Roman" w:eastAsia="仿宋_GB2312" w:cs="仿宋_GB2312"/>
          <w:color w:val="auto"/>
          <w:spacing wpsCustomData:val="-6" w:val="0"/>
          <w:sz w:val="32"/>
          <w:szCs w:val="32"/>
        </w:rPr>
        <w:t>方负责人并责令限期整</w:t>
      </w:r>
      <w:r>
        <w:rPr>
          <w:rFonts w:ascii="Times New Roman" w:hAnsi="Times New Roman" w:eastAsia="仿宋_GB2312" w:cs="仿宋_GB2312"/>
          <w:color w:val="auto"/>
          <w:spacing wpsCustomData:val="-6" w:val="1"/>
          <w:sz w:val="32"/>
          <w:szCs w:val="32"/>
        </w:rPr>
        <w:t>改</w:t>
      </w:r>
      <w:r>
        <w:rPr>
          <w:rFonts w:ascii="Times New Roman" w:hAnsi="Times New Roman" w:eastAsia="仿宋_GB2312" w:cs="仿宋_GB2312"/>
          <w:color w:val="auto"/>
          <w:spacing wpsCustomData:val="-6" w:val="0"/>
          <w:sz w:val="32"/>
          <w:szCs w:val="32"/>
        </w:rPr>
        <w:t>；整改无效</w:t>
      </w:r>
      <w:r>
        <w:rPr>
          <w:rFonts w:ascii="Times New Roman" w:hAnsi="Times New Roman" w:eastAsia="仿宋_GB2312" w:cs="仿宋_GB2312"/>
          <w:color w:val="auto"/>
          <w:spacing wpsCustomData:val="-6" w:val="1"/>
          <w:sz w:val="32"/>
          <w:szCs w:val="32"/>
        </w:rPr>
        <w:t>的</w:t>
      </w:r>
      <w:r>
        <w:rPr>
          <w:rFonts w:ascii="Times New Roman" w:hAnsi="Times New Roman" w:eastAsia="仿宋_GB2312" w:cs="仿宋_GB2312"/>
          <w:color w:val="auto"/>
          <w:spacing wpsCustomData:val="-6" w:val="0"/>
          <w:sz w:val="32"/>
          <w:szCs w:val="32"/>
        </w:rPr>
        <w:t>，甲方有权提前终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止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合同。</w:t>
      </w:r>
    </w:p>
    <w:p w14:paraId="7C337C97">
      <w:pPr>
        <w:pStyle w:val="2"/>
        <w:widowControl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14" w:name="heading_16"/>
      <w:r>
        <w:rPr>
          <w:rFonts w:hint="eastAsia"/>
          <w:lang w:val="en-US" w:eastAsia="zh-CN"/>
        </w:rPr>
        <w:t>六</w:t>
      </w:r>
      <w:r>
        <w:rPr>
          <w:rFonts w:hint="eastAsia"/>
          <w:lang w:eastAsia="zh-CN"/>
        </w:rPr>
        <w:t>、</w:t>
      </w:r>
      <w:r>
        <w:t>设备更换与施工管理</w:t>
      </w:r>
      <w:bookmarkEnd w:id="14"/>
    </w:p>
    <w:p w14:paraId="27818418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15" w:name="heading_17"/>
      <w:r>
        <w:rPr>
          <w:rFonts w:hint="eastAsia"/>
          <w:lang w:eastAsia="zh-CN"/>
        </w:rPr>
        <w:t>（一）</w:t>
      </w:r>
      <w:r>
        <w:t>费用责任划分</w:t>
      </w:r>
      <w:bookmarkEnd w:id="15"/>
    </w:p>
    <w:p w14:paraId="009A0A13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正常使用下设备自然老化、元器件损坏需更换的，设备采购费由甲方承担，乙方免收安装调试费。</w:t>
      </w:r>
    </w:p>
    <w:p w14:paraId="208CF1B3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因第三方人为破坏、不可抗力（地震、洪水、雷击等）导</w:t>
      </w:r>
      <w:r>
        <w:rPr>
          <w:rFonts w:ascii="Times New Roman" w:hAnsi="Times New Roman" w:eastAsia="仿宋_GB2312" w:cs="仿宋_GB2312"/>
          <w:color w:val="auto"/>
          <w:spacing wpsCustomData:val="-6" w:val="7"/>
          <w:sz w:val="32"/>
          <w:szCs w:val="32"/>
        </w:rPr>
        <w:t>致设备损坏的，设备采购费由甲方承担，乙方免收安装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调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试费。</w:t>
      </w:r>
    </w:p>
    <w:p w14:paraId="7A6032E0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因乙方维保操作不当、维修失误导致设备损坏的，设备与维修费用全部由乙方承担。</w:t>
      </w:r>
    </w:p>
    <w:p w14:paraId="373F9A7D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因老化、天灾、人为破坏等导致线路损毁需重新敷设的，材料及施工费由甲方承担；因乙方操作不当导致线路损坏的，修复费用由乙方承担。</w:t>
      </w:r>
    </w:p>
    <w:p w14:paraId="5AEEF06E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甲方新增设备、迁移现有设备或实施系统改造的，设备及施工费用由甲方承担，乙方配合提供方案与施工服务，费用另行协商。</w:t>
      </w:r>
    </w:p>
    <w:p w14:paraId="5EC9FE99">
      <w:pPr>
        <w:pStyle w:val="3"/>
        <w:widowControl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bookmarkStart w:id="16" w:name="heading_18"/>
      <w:r>
        <w:rPr>
          <w:rFonts w:hint="eastAsia"/>
          <w:lang w:eastAsia="zh-CN"/>
        </w:rPr>
        <w:t>（二）</w:t>
      </w:r>
      <w:r>
        <w:t>施工与质量要求</w:t>
      </w:r>
      <w:bookmarkEnd w:id="16"/>
    </w:p>
    <w:p w14:paraId="10A31511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乙方须自备交通工具、维修工具，施工须符合国家安防工程规范，布线整齐、做好清晰标识，必要的设施做好防水、防雷、防鼠咬防护。</w:t>
      </w:r>
    </w:p>
    <w:p w14:paraId="6CDA2BB2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更换的设备及配件须为原厂正品或同档次及以上兼容产品，提前报甲方确认后方可使用。</w:t>
      </w:r>
    </w:p>
    <w:p w14:paraId="5C928458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院内施工须遵守医院管理规定，做好成品保护，避开诊疗高峰时段，严禁影响正常医疗秩序；施工垃圾当日清理完毕。</w:t>
      </w:r>
    </w:p>
    <w:p w14:paraId="1D39BFCF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设备更换、线路施工完成后，须经甲方验收合格后方可结案。</w:t>
      </w:r>
    </w:p>
    <w:p w14:paraId="65749B26">
      <w:pPr>
        <w:pStyle w:val="2"/>
        <w:widowControl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17" w:name="heading_19"/>
      <w:r>
        <w:rPr>
          <w:rFonts w:hint="eastAsia"/>
          <w:lang w:val="en-US" w:eastAsia="zh-CN"/>
        </w:rPr>
        <w:t>七</w:t>
      </w:r>
      <w:r>
        <w:rPr>
          <w:rFonts w:hint="eastAsia"/>
          <w:lang w:eastAsia="zh-CN"/>
        </w:rPr>
        <w:t>、</w:t>
      </w:r>
      <w:r>
        <w:t>人员与资质要求</w:t>
      </w:r>
      <w:bookmarkEnd w:id="17"/>
    </w:p>
    <w:p w14:paraId="212C16BC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乙方须具备安防工程相应从业资质，项目负责人须有同类医院维保项目管理经验。</w:t>
      </w:r>
    </w:p>
    <w:p w14:paraId="2251F357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指派固定技术人员负责本项目，人员须持有电工证、弱电安防相关资格证书，人员名单报甲方备案；不得随意更换，确需更换的须提前 7 个工作日书面告知并经甲方同意。</w:t>
      </w:r>
    </w:p>
    <w:p w14:paraId="7B03078E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维保人员须熟悉医院安防系统特点，遵守医院各项管理规定，作业全程佩戴工作牌。</w:t>
      </w:r>
    </w:p>
    <w:p w14:paraId="3567FB6B">
      <w:pPr>
        <w:pStyle w:val="2"/>
        <w:widowControl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val="en-US" w:eastAsia="zh-CN"/>
        </w:rPr>
        <w:t>八</w:t>
      </w:r>
      <w:r>
        <w:rPr>
          <w:rFonts w:hint="eastAsia"/>
          <w:lang w:eastAsia="zh-CN"/>
        </w:rPr>
        <w:t>、</w:t>
      </w:r>
      <w:r>
        <w:t>工作要求</w:t>
      </w:r>
    </w:p>
    <w:p w14:paraId="4F9FE398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严格按本需求标准开展维保服务，自觉接受甲方监督管理，确保系统稳定达标。</w:t>
      </w:r>
    </w:p>
    <w:p w14:paraId="62B4D00A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建立常用易损配件备用库，保障故障维修效率。</w:t>
      </w:r>
    </w:p>
    <w:p w14:paraId="7C2DFDFF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严格遵守安全生产规范，作业过程中发生的人员伤亡、设备损坏、财产损失，由乙方承担全部责任。</w:t>
      </w:r>
    </w:p>
    <w:p w14:paraId="1D9CFF5B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pacing wpsCustomData:val="-6" w:val="-6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color w:val="auto"/>
          <w:spacing wpsCustomData:val="-6" w:val="7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pacing wpsCustomData:val="-6" w:val="7"/>
          <w:sz w:val="32"/>
          <w:szCs w:val="32"/>
        </w:rPr>
        <w:t>配合甲方完成安防检查、数据调取、应急保障等相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关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工作。</w:t>
      </w:r>
    </w:p>
    <w:p w14:paraId="03A2F195">
      <w:pPr>
        <w:pStyle w:val="2"/>
        <w:widowControl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18" w:name="heading_23"/>
      <w:r>
        <w:rPr>
          <w:rFonts w:hint="eastAsia"/>
          <w:lang w:val="en-US" w:eastAsia="zh-CN"/>
        </w:rPr>
        <w:t>九</w:t>
      </w:r>
      <w:r>
        <w:rPr>
          <w:rFonts w:hint="eastAsia"/>
          <w:lang w:eastAsia="zh-CN"/>
        </w:rPr>
        <w:t>、</w:t>
      </w:r>
      <w:r>
        <w:t>保密与安全要求</w:t>
      </w:r>
      <w:bookmarkEnd w:id="18"/>
    </w:p>
    <w:p w14:paraId="0ED932CB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乙方所有参与人员须严格遵守医院保密规定，对维保过程中接触的监控画面、患者信息、医院内部管理信息严格保密，严禁擅自复制、传播、泄露。</w:t>
      </w:r>
    </w:p>
    <w:p w14:paraId="625C1BA5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严禁擅自调取、查看、拷贝监控录像；确因维保需要调取的，须经甲方安保部批准并在甲方人员陪同下操作。</w:t>
      </w:r>
    </w:p>
    <w:p w14:paraId="390C171D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进入机房、重点科室等管控区域作业，须遵守门禁管理规定，由甲方人员陪同，严禁擅自进入非作业区域。</w:t>
      </w:r>
    </w:p>
    <w:p w14:paraId="504E7BB5">
      <w:pPr>
        <w:pStyle w:val="2"/>
        <w:widowControl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19" w:name="heading_24"/>
      <w:r>
        <w:rPr>
          <w:rFonts w:hint="eastAsia"/>
          <w:lang w:val="en-US" w:eastAsia="zh-CN"/>
        </w:rPr>
        <w:t>十</w:t>
      </w:r>
      <w:r>
        <w:rPr>
          <w:rFonts w:hint="eastAsia"/>
          <w:lang w:eastAsia="zh-CN"/>
        </w:rPr>
        <w:t>、</w:t>
      </w:r>
      <w:r>
        <w:t>履约考核</w:t>
      </w:r>
      <w:bookmarkEnd w:id="19"/>
    </w:p>
    <w:p w14:paraId="3583AE0A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甲方可开展季度服务质量考核，考核维度包括系统完好率、响应时效、巡检完成率、记录规范性、问题整改率、甲方满意度。</w:t>
      </w:r>
    </w:p>
    <w:p w14:paraId="624F3652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季度考核得分低于 80 分的，扣除当季度 10％ 服务费用；连续两个季度考核低于 80 分的，甲方有权提前终止合同。</w:t>
      </w:r>
    </w:p>
    <w:p w14:paraId="725E9CF1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因乙方服务不到位导致医院</w:t>
      </w:r>
      <w:bookmarkStart w:id="21" w:name="_GoBack"/>
      <w:bookmarkEnd w:id="21"/>
      <w:r>
        <w:rPr>
          <w:rFonts w:ascii="Times New Roman" w:hAnsi="Times New Roman" w:eastAsia="仿宋_GB2312" w:cs="仿宋_GB2312"/>
          <w:color w:val="auto"/>
          <w:sz w:val="32"/>
          <w:szCs w:val="32"/>
        </w:rPr>
        <w:t>在上级安防专项检查中被通报的，情节严重的直接终止合同。</w:t>
      </w:r>
    </w:p>
    <w:p w14:paraId="24E3DE2C">
      <w:pPr>
        <w:pStyle w:val="2"/>
        <w:widowControl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20" w:name="heading_25"/>
      <w:r>
        <w:rPr>
          <w:rFonts w:hint="eastAsia"/>
          <w:lang w:eastAsia="zh-CN"/>
        </w:rPr>
        <w:t>十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、</w:t>
      </w:r>
      <w:r>
        <w:t>其他事项</w:t>
      </w:r>
      <w:bookmarkEnd w:id="20"/>
    </w:p>
    <w:p w14:paraId="228138AE">
      <w:pPr>
        <w:pStyle w:val="11"/>
        <w:widowControl/>
        <w:ind w:left="2156" w:hanging="1540" w:firstLineChars="0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pacing w:val="0"/>
          <w:kern w:val="0"/>
          <w:sz w:val="32"/>
          <w:szCs w:val="32"/>
          <w:fitText w:val="1280" w:id="1962818057"/>
        </w:rPr>
        <w:t>服务期限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：自合同签订之日起 1 年，合同期满甲方可根据履约情况决定是否续签。</w:t>
      </w:r>
    </w:p>
    <w:p w14:paraId="03568290">
      <w:pPr>
        <w:pStyle w:val="11"/>
        <w:rPr>
          <w:rFonts w:ascii="Times New Roman" w:hAnsi="Times New Roman" w:eastAsia="宋体" w:cs="Times New Roman"/>
          <w:color w:val="auto"/>
          <w:sz w:val="24"/>
          <w:szCs w:val="24"/>
        </w:rPr>
      </w:pPr>
    </w:p>
    <w:p w14:paraId="38268888">
      <w:pPr>
        <w:pStyle w:val="11"/>
        <w:bidi w:val="0"/>
      </w:pPr>
    </w:p>
    <w:p w14:paraId="3D739AA8">
      <w:pPr>
        <w:pStyle w:val="11"/>
        <w:bidi w:val="0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5" w:h="16840"/>
      <w:pgMar w:top="2098" w:right="1474" w:bottom="1984" w:left="1587" w:header="851" w:footer="1417" w:gutter="0"/>
      <w:pgNumType w:fmt="decimal" w:start="1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C8DDD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7CD1ABA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xL45l0QAA&#10;AAYBAAAPAAAAAAAAAAEAIAAAACIAAABkcnMvZG93bnJldi54bWxQSwECFAAUAAAACACHTuJA1yUU&#10;M+wBAADRAwAADgAAAAAAAAABACAAAAAgAQAAZHJzL2Uyb0RvYy54bWxQSwUGAAAAAAYABgBZAQAA&#10;fg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27CD1ABA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C20BE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16E2F323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xL45l0QAA&#10;AAYBAAAPAAAAAAAAAAEAIAAAACIAAABkcnMvZG93bnJldi54bWxQSwECFAAUAAAACACHTuJAVP5f&#10;f+wBAADRAwAADgAAAAAAAAABACAAAAAgAQAAZHJzL2Uyb0RvYy54bWxQSwUGAAAAAAYABgBZAQAA&#10;fg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16E2F323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3BF22">
    <w:pPr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332D5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evenAndOddHeaders w:val="1"/>
  <w:drawingGridHorizontalSpacing w:val="158"/>
  <w:drawingGridVerticalSpacing w:val="290"/>
  <w:displayHorizontalDrawingGridEvery w:val="2"/>
  <w:displayVerticalDrawingGridEvery w:val="2"/>
  <w:hdrShapeDefaults>
    <o:shapelayout v:ext="edit">
      <o:idmap v:ext="edit" data="2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5F43E9"/>
    <w:rsid w:val="2B5B0EC3"/>
    <w:rsid w:val="40C92F84"/>
    <w:rsid w:val="426F2AAC"/>
    <w:rsid w:val="4F845943"/>
    <w:rsid w:val="5AF47194"/>
    <w:rsid w:val="6AC001F8"/>
    <w:rsid w:val="7FA05A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18">
    <w:name w:val="标题 3 Char"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19">
    <w:name w:val="标题 1 Char"/>
    <w:uiPriority w:val="0"/>
    <w:rPr>
      <w:rFonts w:ascii="黑体" w:hAnsi="黑体" w:eastAsia="黑体" w:cs="黑体"/>
      <w:kern w:val="44"/>
      <w:sz w:val="32"/>
      <w:szCs w:val="32"/>
    </w:rPr>
  </w:style>
  <w:style w:type="character" w:customStyle="1" w:styleId="20">
    <w:name w:val="标题 3 Char1"/>
    <w:link w:val="4"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1">
    <w:name w:val="标题 2 Char"/>
    <w:link w:val="3"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3390</Words>
  <Characters>3412</Characters>
  <TotalTime>79</TotalTime>
  <ScaleCrop>false</ScaleCrop>
  <LinksUpToDate>false</LinksUpToDate>
  <CharactersWithSpaces>3457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2026-07-06T07:55:00Z</dcterms:created>
  <dc:creator>Apache POI</dc:creator>
  <cp:lastModifiedBy>脑瓜子嗡嗡的</cp:lastModifiedBy>
  <dcterms:modified xsi:type="dcterms:W3CDTF">2026-07-07T02:15:49Z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{"Label":"1","ContentProducer":"001191110102MACQD9K64010000","ProduceID":"7659320559238941636","ReservedCode1":"","ContentPropagator":"","PropagateID":"","ReservedCode2":""}</vt:lpwstr>
  </property>
  <property fmtid="{D5CDD505-2E9C-101B-9397-08002B2CF9AE}" pid="3" name="KSOTemplateDocerSaveRecord">
    <vt:lpwstr>eyJoZGlkIjoiNWUwMTNjMjVhNWYzN2QyNzhlNzlmNmQxNTYwMDFjYTQiLCJ1c2VySWQiOiIxMTI1NzA5MTc3In0=</vt:lpwstr>
  </property>
  <property fmtid="{D5CDD505-2E9C-101B-9397-08002B2CF9AE}" pid="4" name="KSOProductBuildVer">
    <vt:lpwstr>2052-12.1.0.26895</vt:lpwstr>
  </property>
  <property fmtid="{D5CDD505-2E9C-101B-9397-08002B2CF9AE}" pid="5" name="ICV">
    <vt:lpwstr>67CA02D51EA043209F239A3EF1869713_13</vt:lpwstr>
  </property>
</Properties>
</file>