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F1479">
      <w:pPr>
        <w:pStyle w:val="15"/>
        <w:widowControl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mc:AlternateContent>
        <mc:Choice Requires="wpsCustomData">
          <wpsCustomData:docfieldStart id="0" docfieldname="标题_1" hidden="0" print="1" readonly="0" index="1"/>
        </mc:Choice>
      </mc:AlternateContent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电梯维保</w:t>
      </w:r>
      <w:r>
        <w:rPr>
          <w:rFonts w:hint="eastAsia" w:cs="方正小标宋简体"/>
          <w:b w:val="0"/>
          <w:bCs w:val="0"/>
          <w:sz w:val="44"/>
          <w:szCs w:val="44"/>
          <w:lang w:val="en-US" w:eastAsia="zh-CN"/>
        </w:rPr>
        <w:t>服务</w:t>
      </w: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>项目采购需求</w:t>
      </w:r>
      <mc:AlternateContent>
        <mc:Choice Requires="wpsCustomData">
          <wpsCustomData:docfieldEnd id="0"/>
        </mc:Choice>
      </mc:AlternateContent>
    </w:p>
    <w:p w14:paraId="195A8EA1">
      <w:pPr>
        <w:pStyle w:val="11"/>
        <w:bidi w:val="0"/>
        <w:spacing w:beforeAutospacing="0" w:afterAutospacing="0" w:line="300" w:lineRule="exact"/>
        <w:rPr>
          <w:rFonts w:hint="eastAsia"/>
          <w:lang w:eastAsia="zh-CN"/>
        </w:rPr>
      </w:pPr>
    </w:p>
    <w:p w14:paraId="39834E58">
      <w:pPr>
        <w:pStyle w:val="11"/>
        <w:widowControl/>
        <w:numPr>
          <w:ilvl w:val="0"/>
          <w:numId w:val="0"/>
        </w:numPr>
        <w:ind w:left="0" w:leftChars="0" w:firstLine="616"/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  <w:spacing w:val="-6"/>
          <w:sz w:val="32"/>
          <w:szCs w:val="32"/>
          <w:lang w:val="en-US" w:eastAsia="zh-CN"/>
        </w:rPr>
        <w:t>维保范围</w:t>
      </w:r>
    </w:p>
    <w:tbl>
      <w:tblPr>
        <w:tblStyle w:val="16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3141"/>
        <w:gridCol w:w="3168"/>
        <w:gridCol w:w="878"/>
      </w:tblGrid>
      <w:tr w14:paraId="4DEBC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65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3A79242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  <w:t>电梯品牌</w:t>
            </w:r>
          </w:p>
        </w:tc>
        <w:tc>
          <w:tcPr>
            <w:tcW w:w="314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65370CAF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  <w:t>型号规格</w:t>
            </w:r>
          </w:p>
        </w:tc>
        <w:tc>
          <w:tcPr>
            <w:tcW w:w="316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06567F32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  <w:t>层/站/门(提升高度)</w:t>
            </w:r>
          </w:p>
        </w:tc>
        <w:tc>
          <w:tcPr>
            <w:tcW w:w="87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A9CB66D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  <w:t>台数</w:t>
            </w:r>
          </w:p>
        </w:tc>
      </w:tr>
      <w:tr w14:paraId="15383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tblHeader/>
          <w:jc w:val="center"/>
        </w:trPr>
        <w:tc>
          <w:tcPr>
            <w:tcW w:w="165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6DABCFF6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4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9DC31DF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6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742CF7DC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87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EE09AF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</w:tr>
      <w:tr w14:paraId="5F845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7B4ED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30" w:lineRule="exact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8"/>
                <w:kern w:val="0"/>
                <w:position w:val="-1"/>
                <w:sz w:val="32"/>
                <w:szCs w:val="32"/>
                <w:lang w:eastAsia="en-US"/>
              </w:rPr>
              <w:t>广州日立</w:t>
            </w:r>
          </w:p>
        </w:tc>
        <w:tc>
          <w:tcPr>
            <w:tcW w:w="31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57A1A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8" w:line="194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GVF</w:t>
            </w: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3"/>
                <w:kern w:val="0"/>
                <w:sz w:val="32"/>
                <w:szCs w:val="32"/>
                <w:lang w:eastAsia="en-US"/>
              </w:rPr>
              <w:t>-B1000-C060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0074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4" w:line="218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8"/>
                <w:kern w:val="0"/>
                <w:sz w:val="32"/>
                <w:szCs w:val="32"/>
                <w:lang w:eastAsia="en-US"/>
              </w:rPr>
              <w:t>7/7/7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A42C0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5" w:line="187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1</w:t>
            </w:r>
          </w:p>
        </w:tc>
      </w:tr>
      <w:tr w14:paraId="673DF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A5A1E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29" w:lineRule="exact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8"/>
                <w:kern w:val="0"/>
                <w:position w:val="-1"/>
                <w:sz w:val="32"/>
                <w:szCs w:val="32"/>
                <w:lang w:eastAsia="en-US"/>
              </w:rPr>
              <w:t>广州广日</w:t>
            </w:r>
          </w:p>
        </w:tc>
        <w:tc>
          <w:tcPr>
            <w:tcW w:w="31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B43A8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9" w:line="194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GVF</w:t>
            </w: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3"/>
                <w:kern w:val="0"/>
                <w:sz w:val="32"/>
                <w:szCs w:val="32"/>
                <w:lang w:eastAsia="en-US"/>
              </w:rPr>
              <w:t>-B1000-C060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992A1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5" w:line="216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9"/>
                <w:kern w:val="0"/>
                <w:sz w:val="32"/>
                <w:szCs w:val="32"/>
                <w:lang w:eastAsia="en-US"/>
              </w:rPr>
              <w:t>6/6/6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48229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189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2</w:t>
            </w:r>
          </w:p>
        </w:tc>
      </w:tr>
      <w:tr w14:paraId="1A98F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A529C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28" w:lineRule="exact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5"/>
                <w:w w:val="98"/>
                <w:kern w:val="0"/>
                <w:position w:val="-1"/>
                <w:sz w:val="32"/>
                <w:szCs w:val="32"/>
                <w:lang w:eastAsia="en-US"/>
              </w:rPr>
              <w:t>上海永大</w:t>
            </w:r>
          </w:p>
        </w:tc>
        <w:tc>
          <w:tcPr>
            <w:tcW w:w="31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CDB8D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0" w:line="192" w:lineRule="auto"/>
              <w:ind w:left="247" w:leftChars="0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NBVF</w:t>
            </w: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9"/>
                <w:kern w:val="0"/>
                <w:sz w:val="32"/>
                <w:szCs w:val="32"/>
                <w:lang w:eastAsia="en-US"/>
              </w:rPr>
              <w:t>-1600-C060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51982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6" w:line="216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8"/>
                <w:kern w:val="0"/>
                <w:sz w:val="32"/>
                <w:szCs w:val="32"/>
                <w:lang w:eastAsia="en-US"/>
              </w:rPr>
              <w:t>7/7/7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ABF7A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4" w:line="189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2</w:t>
            </w:r>
          </w:p>
        </w:tc>
      </w:tr>
      <w:tr w14:paraId="13FE7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CAC23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98" w:line="192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8"/>
                <w:kern w:val="0"/>
                <w:sz w:val="32"/>
                <w:szCs w:val="32"/>
                <w:lang w:eastAsia="en-US"/>
              </w:rPr>
              <w:t>广州永日</w:t>
            </w:r>
          </w:p>
        </w:tc>
        <w:tc>
          <w:tcPr>
            <w:tcW w:w="31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1FB2B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1" w:line="192" w:lineRule="auto"/>
              <w:ind w:left="221" w:leftChars="0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GSM</w:t>
            </w: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4"/>
                <w:kern w:val="0"/>
                <w:sz w:val="32"/>
                <w:szCs w:val="32"/>
                <w:lang w:eastAsia="en-US"/>
              </w:rPr>
              <w:t>-P1150-C090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DDCD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7" w:line="216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14"/>
                <w:kern w:val="0"/>
                <w:sz w:val="32"/>
                <w:szCs w:val="32"/>
                <w:lang w:eastAsia="en-US"/>
              </w:rPr>
              <w:t>9/9/9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38A13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8" w:line="184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1</w:t>
            </w:r>
          </w:p>
        </w:tc>
      </w:tr>
      <w:tr w14:paraId="446CB3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8BC5EC7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29CE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2" w:line="192" w:lineRule="auto"/>
              <w:ind w:left="206" w:leftChars="0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GSM</w:t>
            </w: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7"/>
                <w:kern w:val="0"/>
                <w:sz w:val="32"/>
                <w:szCs w:val="32"/>
                <w:lang w:eastAsia="en-US"/>
              </w:rPr>
              <w:t>-B1600-C060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0940C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8" w:line="213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9"/>
                <w:kern w:val="0"/>
                <w:sz w:val="32"/>
                <w:szCs w:val="32"/>
                <w:lang w:eastAsia="en-US"/>
              </w:rPr>
              <w:t>3/3/3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E7830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184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1</w:t>
            </w:r>
          </w:p>
        </w:tc>
      </w:tr>
      <w:tr w14:paraId="23E4B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1CCEC87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CFA0F8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  <w:t>GSM一B1600一2S60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A5D903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  <w:t>4/4/4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82B66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  <w:t>1</w:t>
            </w:r>
          </w:p>
        </w:tc>
      </w:tr>
      <w:tr w14:paraId="79DB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0712E75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4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CFE2A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26" w:line="196" w:lineRule="auto"/>
              <w:ind w:left="183" w:leftChars="0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GSM</w:t>
            </w: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3"/>
                <w:kern w:val="0"/>
                <w:sz w:val="32"/>
                <w:szCs w:val="32"/>
                <w:lang w:eastAsia="en-US"/>
              </w:rPr>
              <w:t>-B1600-C0105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AAD98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2" w:line="211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8"/>
                <w:kern w:val="0"/>
                <w:sz w:val="32"/>
                <w:szCs w:val="32"/>
                <w:lang w:eastAsia="en-US"/>
              </w:rPr>
              <w:t>20/20/20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66EF2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0" w:line="184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2</w:t>
            </w:r>
          </w:p>
        </w:tc>
      </w:tr>
      <w:tr w14:paraId="41003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4D31D25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41" w:type="dxa"/>
            <w:vMerge w:val="continue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5A5400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en-US"/>
              </w:rPr>
            </w:pP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7B734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08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4"/>
                <w:kern w:val="0"/>
                <w:sz w:val="32"/>
                <w:szCs w:val="32"/>
                <w:lang w:eastAsia="en-US"/>
              </w:rPr>
              <w:t>19/19/19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0E6F4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182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en-US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2</w:t>
            </w:r>
          </w:p>
        </w:tc>
      </w:tr>
      <w:tr w14:paraId="6EDA2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98F15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0" w:line="189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8"/>
                <w:kern w:val="0"/>
                <w:sz w:val="32"/>
                <w:szCs w:val="32"/>
                <w:lang w:eastAsia="en-US"/>
              </w:rPr>
              <w:t>莱茵贝格</w:t>
            </w:r>
          </w:p>
        </w:tc>
        <w:tc>
          <w:tcPr>
            <w:tcW w:w="314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B278A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0" w:line="216" w:lineRule="auto"/>
              <w:ind w:left="305" w:leftChars="0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3"/>
                <w:kern w:val="0"/>
                <w:sz w:val="32"/>
                <w:szCs w:val="32"/>
                <w:lang w:eastAsia="en-US"/>
              </w:rPr>
              <w:t>TKJ/LME3100(C)</w:t>
            </w: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C289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0" w:line="211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8"/>
                <w:kern w:val="0"/>
                <w:sz w:val="32"/>
                <w:szCs w:val="32"/>
                <w:lang w:eastAsia="en-US"/>
              </w:rPr>
              <w:t>20/20/20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8BC39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7" w:line="187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eastAsia="en-US"/>
              </w:rPr>
              <w:t>3</w:t>
            </w:r>
          </w:p>
        </w:tc>
      </w:tr>
      <w:tr w14:paraId="50CD3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58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21CAEBFE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41" w:type="dxa"/>
            <w:vMerge w:val="continue"/>
            <w:tcMar>
              <w:left w:w="108" w:type="dxa"/>
              <w:right w:w="108" w:type="dxa"/>
            </w:tcMar>
            <w:vAlign w:val="center"/>
          </w:tcPr>
          <w:p w14:paraId="4F2B7580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wordWrap/>
              <w:overflowPunct/>
              <w:topLinePunct w:val="0"/>
              <w:bidi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spacing w:val="-6"/>
                <w:sz w:val="32"/>
                <w:szCs w:val="32"/>
                <w:lang w:val="en-US" w:eastAsia="zh-CN"/>
              </w:rPr>
            </w:pPr>
          </w:p>
        </w:tc>
        <w:tc>
          <w:tcPr>
            <w:tcW w:w="31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937CB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1" w:line="211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4"/>
                <w:kern w:val="0"/>
                <w:sz w:val="32"/>
                <w:szCs w:val="32"/>
                <w:lang w:eastAsia="en-US"/>
              </w:rPr>
              <w:t>19/19/19</w:t>
            </w:r>
          </w:p>
        </w:tc>
        <w:tc>
          <w:tcPr>
            <w:tcW w:w="87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1930A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2" w:line="182" w:lineRule="auto"/>
              <w:jc w:val="center"/>
              <w:textAlignment w:val="baseline"/>
              <w:rPr>
                <w:rFonts w:hint="eastAsia" w:ascii="楷体_GB2312" w:hAnsi="楷体_GB2312" w:eastAsia="楷体_GB2312" w:cs="楷体_GB2312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9"/>
                <w:kern w:val="0"/>
                <w:sz w:val="32"/>
                <w:szCs w:val="32"/>
                <w:lang w:eastAsia="en-US"/>
              </w:rPr>
              <w:t>4</w:t>
            </w:r>
          </w:p>
        </w:tc>
      </w:tr>
      <w:tr w14:paraId="695C3C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967" w:type="dxa"/>
            <w:gridSpan w:val="3"/>
            <w:vAlign w:val="center"/>
          </w:tcPr>
          <w:p w14:paraId="02FA16E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3" w:line="208" w:lineRule="auto"/>
              <w:ind w:left="103" w:leftChars="0"/>
              <w:jc w:val="center"/>
              <w:textAlignment w:val="baseline"/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spacing w:val="-4"/>
                <w:kern w:val="0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3F94A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1" w:line="182" w:lineRule="auto"/>
              <w:jc w:val="center"/>
              <w:textAlignment w:val="baseline"/>
              <w:rPr>
                <w:rFonts w:hint="default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19</w:t>
            </w:r>
          </w:p>
        </w:tc>
      </w:tr>
    </w:tbl>
    <w:p w14:paraId="0C3622C6">
      <w:pPr>
        <w:pStyle w:val="11"/>
        <w:widowControl/>
        <w:numPr>
          <w:ilvl w:val="0"/>
          <w:numId w:val="0"/>
        </w:numPr>
        <w:ind w:left="0" w:leftChars="0" w:firstLine="616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二、维保内容</w:t>
      </w:r>
    </w:p>
    <w:p w14:paraId="179C8558">
      <w:pPr>
        <w:pStyle w:val="11"/>
        <w:widowControl/>
        <w:numPr>
          <w:ilvl w:val="0"/>
          <w:numId w:val="0"/>
        </w:numPr>
        <w:ind w:left="0" w:leftChars="0" w:firstLine="616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 xml:space="preserve">按《特种设备安全监察条例》第三十二条规定，每15日一次派遣维保人员，定期对甲方的电梯进行规范性维修保养，维修保养应按GB／T18775《电梯维修规范》执行。电梯的大修（包括更换或截断电梯的主钢丝绳、主电缆、主变频器和控制主板及主机曳引轮和油封等大项目）和改造或人为损坏造成的修理。甲方如委托乙方维修，费用由双方协定。           </w:t>
      </w:r>
    </w:p>
    <w:p w14:paraId="50FA8421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2.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在维保期内更换零配件，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  <w:t>合同年度金额的5%作为专项维修基金，由乙方负责提供免费维修服务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，但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乙方应先通知甲方确认，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超出部分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材料费用由甲方负责。</w:t>
      </w:r>
    </w:p>
    <w:p w14:paraId="7A27E249">
      <w:pPr>
        <w:pStyle w:val="11"/>
        <w:widowControl/>
        <w:numPr>
          <w:ilvl w:val="0"/>
          <w:numId w:val="0"/>
        </w:numPr>
        <w:ind w:left="0" w:leftChars="0" w:firstLine="616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3.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委托给乙方进行维保的电梯，应是经市场质量技术监督部门验收、检验并取得电梯使用注册登记证的在用电梯，并提供随机资料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甲方负责电梯年度定期检验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、</w:t>
      </w:r>
      <w:bookmarkStart w:id="0" w:name="_GoBack"/>
      <w:bookmarkEnd w:id="0"/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检测的申报及费用的缴付。</w:t>
      </w:r>
    </w:p>
    <w:p w14:paraId="2348951D">
      <w:pPr>
        <w:pStyle w:val="11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4.乙方负责协助整理电梯相关资料并做好迎检工作，如因乙方问题导致电梯检查不合格，相关罚款由乙方负责。</w:t>
      </w:r>
    </w:p>
    <w:p w14:paraId="1B7DA858">
      <w:pPr>
        <w:pStyle w:val="11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5.因甲方使用不当、疏忽或人为损坏导致电梯发生安全事故，则甲方负责；因乙方不履职尽责，导致电梯运行发生安全事故，相关责任由乙方承担。</w:t>
      </w:r>
    </w:p>
    <w:p w14:paraId="5BCF8484">
      <w:pPr>
        <w:pStyle w:val="11"/>
        <w:bidi w:val="0"/>
        <w:rPr>
          <w:rFonts w:hint="eastAsia"/>
          <w:lang w:val="en-US" w:eastAsia="zh-CN"/>
        </w:rPr>
      </w:pPr>
    </w:p>
    <w:p w14:paraId="6E8D5010">
      <w:pPr>
        <w:pStyle w:val="11"/>
        <w:bidi w:val="0"/>
        <w:ind w:left="0" w:leftChars="0" w:right="1283" w:rightChars="611" w:firstLine="0" w:firstLineChars="0"/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后勤部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0" w:num="1"/>
      <w:rtlGutter w:val="0"/>
      <w:docGrid w:type="linesAndChars" w:linePitch="579" w:charSpace="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095D3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C8020F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2C8020F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49579">
    <w:pPr>
      <w:pStyle w:val="1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D57220">
                          <w:pPr>
                            <w:pStyle w:val="1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8D57220">
                    <w:pPr>
                      <w:pStyle w:val="1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251BD">
    <w:pPr>
      <w:pStyle w:val="1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93A72">
    <w:pPr>
      <w:pStyle w:val="1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evenAndOddHeaders w:val="1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A5419"/>
    <w:rsid w:val="022B6458"/>
    <w:rsid w:val="0B8909A2"/>
    <w:rsid w:val="0E302AA3"/>
    <w:rsid w:val="0E34011B"/>
    <w:rsid w:val="0F1E3AEF"/>
    <w:rsid w:val="106849CF"/>
    <w:rsid w:val="11ED4910"/>
    <w:rsid w:val="149B7D8F"/>
    <w:rsid w:val="153D7702"/>
    <w:rsid w:val="17A96D3F"/>
    <w:rsid w:val="185C1D1C"/>
    <w:rsid w:val="1B50689B"/>
    <w:rsid w:val="21610A3B"/>
    <w:rsid w:val="2DD61195"/>
    <w:rsid w:val="3128326B"/>
    <w:rsid w:val="35352093"/>
    <w:rsid w:val="390B2B3B"/>
    <w:rsid w:val="3EBE3EE3"/>
    <w:rsid w:val="3F367111"/>
    <w:rsid w:val="42AD445E"/>
    <w:rsid w:val="471751B7"/>
    <w:rsid w:val="483E6094"/>
    <w:rsid w:val="49D547D7"/>
    <w:rsid w:val="49F4637B"/>
    <w:rsid w:val="4D4952BF"/>
    <w:rsid w:val="4D8D2C36"/>
    <w:rsid w:val="4DA76C3D"/>
    <w:rsid w:val="4F8F2448"/>
    <w:rsid w:val="50241CC0"/>
    <w:rsid w:val="50B52772"/>
    <w:rsid w:val="510274D8"/>
    <w:rsid w:val="510A542B"/>
    <w:rsid w:val="573F18F1"/>
    <w:rsid w:val="5FF55960"/>
    <w:rsid w:val="608B2891"/>
    <w:rsid w:val="67313CD0"/>
    <w:rsid w:val="6E056EAA"/>
    <w:rsid w:val="7E60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Times New Roman" w:hAnsi="Times New Roman" w:eastAsia="仿宋_GB2312" w:cs="仿宋_GB2312"/>
      <w:sz w:val="32"/>
      <w:szCs w:val="32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3"/>
    </w:pPr>
    <w:rPr>
      <w:rFonts w:ascii="Times New Roman" w:hAnsi="Times New Roman" w:eastAsia="仿宋_GB2312" w:cs="仿宋_GB2312"/>
      <w:sz w:val="32"/>
      <w:szCs w:val="32"/>
    </w:rPr>
  </w:style>
  <w:style w:type="paragraph" w:styleId="6">
    <w:name w:val="heading 5"/>
    <w:next w:val="1"/>
    <w:semiHidden/>
    <w:unhideWhenUsed/>
    <w:qFormat/>
    <w:uiPriority w:val="0"/>
    <w:pPr>
      <w:spacing w:line="560" w:lineRule="exact"/>
      <w:ind w:firstLine="894" w:firstLineChars="200"/>
      <w:outlineLvl w:val="4"/>
    </w:pPr>
    <w:rPr>
      <w:rFonts w:ascii="Times New Roman" w:hAnsi="Times New Roman" w:eastAsia="仿宋_GB2312" w:cs="仿宋_GB2312"/>
      <w:sz w:val="32"/>
      <w:szCs w:val="32"/>
    </w:rPr>
  </w:style>
  <w:style w:type="paragraph" w:styleId="7">
    <w:name w:val="heading 6"/>
    <w:next w:val="1"/>
    <w:semiHidden/>
    <w:unhideWhenUsed/>
    <w:qFormat/>
    <w:uiPriority w:val="0"/>
    <w:pPr>
      <w:spacing w:line="560" w:lineRule="exact"/>
      <w:ind w:firstLine="894" w:firstLineChars="200"/>
      <w:outlineLvl w:val="5"/>
    </w:pPr>
    <w:rPr>
      <w:rFonts w:ascii="Times New Roman" w:hAnsi="Times New Roman" w:eastAsia="仿宋_GB2312" w:cs="仿宋_GB2312"/>
      <w:sz w:val="32"/>
      <w:szCs w:val="32"/>
    </w:rPr>
  </w:style>
  <w:style w:type="paragraph" w:styleId="8">
    <w:name w:val="heading 7"/>
    <w:next w:val="1"/>
    <w:semiHidden/>
    <w:unhideWhenUsed/>
    <w:qFormat/>
    <w:uiPriority w:val="0"/>
    <w:pPr>
      <w:spacing w:line="560" w:lineRule="exact"/>
      <w:ind w:firstLine="894" w:firstLineChars="200"/>
      <w:outlineLvl w:val="6"/>
    </w:pPr>
    <w:rPr>
      <w:rFonts w:ascii="Times New Roman" w:hAnsi="Times New Roman" w:eastAsia="仿宋_GB2312" w:cs="仿宋_GB2312"/>
      <w:sz w:val="32"/>
      <w:szCs w:val="32"/>
    </w:rPr>
  </w:style>
  <w:style w:type="paragraph" w:styleId="9">
    <w:name w:val="heading 8"/>
    <w:next w:val="1"/>
    <w:semiHidden/>
    <w:unhideWhenUsed/>
    <w:qFormat/>
    <w:uiPriority w:val="0"/>
    <w:pPr>
      <w:spacing w:line="560" w:lineRule="exact"/>
      <w:ind w:firstLine="894" w:firstLineChars="200"/>
      <w:outlineLvl w:val="7"/>
    </w:pPr>
    <w:rPr>
      <w:rFonts w:ascii="Times New Roman" w:hAnsi="Times New Roman" w:eastAsia="仿宋_GB2312" w:cs="仿宋_GB2312"/>
      <w:sz w:val="32"/>
      <w:szCs w:val="32"/>
    </w:rPr>
  </w:style>
  <w:style w:type="paragraph" w:styleId="10">
    <w:name w:val="heading 9"/>
    <w:next w:val="1"/>
    <w:semiHidden/>
    <w:unhideWhenUsed/>
    <w:qFormat/>
    <w:uiPriority w:val="0"/>
    <w:pPr>
      <w:spacing w:line="560" w:lineRule="exact"/>
      <w:ind w:firstLine="894" w:firstLineChars="200"/>
      <w:outlineLvl w:val="8"/>
    </w:pPr>
    <w:rPr>
      <w:rFonts w:ascii="Times New Roman" w:hAnsi="Times New Roman" w:eastAsia="仿宋_GB2312" w:cs="仿宋_GB2312"/>
      <w:sz w:val="32"/>
      <w:szCs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Subtitle"/>
    <w:qFormat/>
    <w:uiPriority w:val="0"/>
    <w:pPr>
      <w:spacing w:beforeLines="0" w:beforeAutospacing="0" w:afterLines="0" w:afterAutospacing="0" w:line="720" w:lineRule="exact"/>
      <w:jc w:val="center"/>
      <w:outlineLvl w:val="9"/>
    </w:pPr>
    <w:rPr>
      <w:rFonts w:ascii="Times New Roman" w:hAnsi="Times New Roman" w:eastAsia="仿宋_GB2312" w:cs="仿宋_GB2312"/>
      <w:kern w:val="28"/>
      <w:sz w:val="32"/>
      <w:szCs w:val="32"/>
    </w:rPr>
  </w:style>
  <w:style w:type="paragraph" w:styleId="1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521</Words>
  <Characters>688</Characters>
  <Lines>0</Lines>
  <Paragraphs>0</Paragraphs>
  <TotalTime>0</TotalTime>
  <ScaleCrop>false</ScaleCrop>
  <LinksUpToDate>false</LinksUpToDate>
  <CharactersWithSpaces>700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2025-11-03T00:59:00Z</dcterms:created>
  <dc:creator>Administrator</dc:creator>
  <cp:lastModifiedBy>脑瓜子嗡嗡的</cp:lastModifiedBy>
  <cp:lastPrinted>2026-08-24T03:08:00Z</cp:lastPrinted>
  <dcterms:modified xsi:type="dcterms:W3CDTF">2026-08-25T02:33:25Z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58D86BA43C394D808244A5871C8AA9A8_12</vt:lpwstr>
  </property>
  <property fmtid="{D5CDD505-2E9C-101B-9397-08002B2CF9AE}" pid="4" name="KSOTemplateDocerSaveRecord">
    <vt:lpwstr>eyJoZGlkIjoiNWUwMTNjMjVhNWYzN2QyNzhlNzlmNmQxNTYwMDFjYTQiLCJ1c2VySWQiOiIxMTI1NzA5MTc3In0=</vt:lpwstr>
  </property>
</Properties>
</file>